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5A" w:rsidRDefault="00AC29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95A" w:rsidRDefault="00AC295A">
      <w:pPr>
        <w:pStyle w:val="ConsPlusNormal"/>
        <w:outlineLvl w:val="0"/>
      </w:pPr>
    </w:p>
    <w:p w:rsidR="00AC295A" w:rsidRDefault="00AC295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C295A" w:rsidRDefault="00AC295A">
      <w:pPr>
        <w:pStyle w:val="ConsPlusTitle"/>
        <w:jc w:val="center"/>
      </w:pPr>
    </w:p>
    <w:p w:rsidR="00AC295A" w:rsidRDefault="00AC295A">
      <w:pPr>
        <w:pStyle w:val="ConsPlusTitle"/>
        <w:jc w:val="center"/>
      </w:pPr>
      <w:r>
        <w:t>ПОСТАНОВЛЕНИЕ</w:t>
      </w:r>
    </w:p>
    <w:p w:rsidR="00AC295A" w:rsidRDefault="00AC295A">
      <w:pPr>
        <w:pStyle w:val="ConsPlusTitle"/>
        <w:jc w:val="center"/>
      </w:pPr>
      <w:r>
        <w:t>от 17 сентября 2021 г. N 373-п</w:t>
      </w:r>
    </w:p>
    <w:p w:rsidR="00AC295A" w:rsidRDefault="00AC295A">
      <w:pPr>
        <w:pStyle w:val="ConsPlusTitle"/>
        <w:jc w:val="center"/>
      </w:pPr>
    </w:p>
    <w:p w:rsidR="00AC295A" w:rsidRDefault="00AC295A">
      <w:pPr>
        <w:pStyle w:val="ConsPlusTitle"/>
        <w:jc w:val="center"/>
      </w:pPr>
      <w:r>
        <w:t>О ПОЛОЖЕНИИ О РЕГИОНАЛЬНОМ ГОСУДАРСТВЕННОМ КОНТРОЛЕ</w:t>
      </w:r>
    </w:p>
    <w:p w:rsidR="00AC295A" w:rsidRDefault="00AC295A">
      <w:pPr>
        <w:pStyle w:val="ConsPlusTitle"/>
        <w:jc w:val="center"/>
      </w:pPr>
      <w:r>
        <w:t>(НАДЗОРЕ) В ОБЛАСТИ РОЗНИЧНОЙ ПРОДАЖИ АЛКОГОЛЬНОЙ</w:t>
      </w:r>
    </w:p>
    <w:p w:rsidR="00AC295A" w:rsidRDefault="00AC295A">
      <w:pPr>
        <w:pStyle w:val="ConsPlusTitle"/>
        <w:jc w:val="center"/>
      </w:pPr>
      <w:r>
        <w:t>И СПИРТОСОДЕРЖАЩЕЙ ПРОДУКЦИИ</w:t>
      </w:r>
    </w:p>
    <w:p w:rsidR="00AC295A" w:rsidRDefault="00AC29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9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18.02.2022 </w:t>
            </w:r>
            <w:hyperlink r:id="rId5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6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 xml:space="preserve">, от 07.07.2023 </w:t>
            </w:r>
            <w:hyperlink r:id="rId7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28.09.2023 </w:t>
            </w:r>
            <w:hyperlink r:id="rId8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>,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17.11.2023 </w:t>
            </w:r>
            <w:hyperlink r:id="rId9">
              <w:r>
                <w:rPr>
                  <w:color w:val="0000FF"/>
                </w:rPr>
                <w:t>N 571-п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</w:tr>
    </w:tbl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ind w:firstLine="540"/>
        <w:jc w:val="both"/>
      </w:pPr>
      <w:r>
        <w:t xml:space="preserve">В соответствии с Федеральными законами от 22 ноября 1995 года </w:t>
      </w:r>
      <w:hyperlink r:id="rId10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31 июля 2020 года </w:t>
      </w:r>
      <w:hyperlink r:id="rId1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Законами Ханты-Мансийского автономного округа - Югры от 25 февраля 2003 года </w:t>
      </w:r>
      <w:hyperlink r:id="rId12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16 июня 2016 года </w:t>
      </w:r>
      <w:hyperlink r:id="rId13">
        <w:r>
          <w:rPr>
            <w:color w:val="0000FF"/>
          </w:rPr>
          <w:t>N 46-оз</w:t>
        </w:r>
      </w:hyperlink>
      <w:r>
        <w:t xml:space="preserve">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Югре", учитывая решение Общественного совета при Департаменте экономического развития Ханты-Мансийского автономного округа - Югры (протокол заседания от 7 июля 2021 года N 18), Правительство Ханты-Мансийского автономного округа - Югры постановляет: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1. Утвердить: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(приложение 1).</w:t>
      </w:r>
    </w:p>
    <w:p w:rsidR="00AC295A" w:rsidRDefault="00AC295A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1.2. </w:t>
      </w:r>
      <w:hyperlink w:anchor="P287">
        <w:r>
          <w:rPr>
            <w:color w:val="0000FF"/>
          </w:rPr>
          <w:t>Показатели</w:t>
        </w:r>
      </w:hyperlink>
      <w:r>
        <w:t xml:space="preserve">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 (приложение 2).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от 1 декабря 2017 года </w:t>
      </w:r>
      <w:hyperlink r:id="rId14">
        <w:r>
          <w:rPr>
            <w:color w:val="0000FF"/>
          </w:rPr>
          <w:t>N 475-п</w:t>
        </w:r>
      </w:hyperlink>
      <w:r>
        <w:t xml:space="preserve">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от 23 марта 2018 года </w:t>
      </w:r>
      <w:hyperlink r:id="rId15">
        <w:r>
          <w:rPr>
            <w:color w:val="0000FF"/>
          </w:rPr>
          <w:t>N 77-п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 и признании утратившими силу некоторых постановлений Правительства Ханты-Мансийского автономного округа - Югры";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от 22 июня 2018 года </w:t>
      </w:r>
      <w:hyperlink r:id="rId16">
        <w:r>
          <w:rPr>
            <w:color w:val="0000FF"/>
          </w:rPr>
          <w:t>N 189-п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1 декабря 2017 года N 475-п "О </w:t>
      </w:r>
      <w:r>
        <w:lastRenderedPageBreak/>
        <w:t>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от 19 октября 2018 года </w:t>
      </w:r>
      <w:hyperlink r:id="rId17">
        <w:r>
          <w:rPr>
            <w:color w:val="0000FF"/>
          </w:rPr>
          <w:t>N 383-п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2022 года, за исключением </w:t>
      </w:r>
      <w:hyperlink w:anchor="P17">
        <w:r>
          <w:rPr>
            <w:color w:val="0000FF"/>
          </w:rPr>
          <w:t>подпункта 1.2 пункта 1</w:t>
        </w:r>
      </w:hyperlink>
      <w:r>
        <w:t>, вступающего в силу с 1 марта 2022 года.</w:t>
      </w:r>
    </w:p>
    <w:p w:rsidR="00AC295A" w:rsidRDefault="00AC295A">
      <w:pPr>
        <w:pStyle w:val="ConsPlusNormal"/>
        <w:jc w:val="right"/>
      </w:pPr>
    </w:p>
    <w:p w:rsidR="00AC295A" w:rsidRDefault="00AC295A">
      <w:pPr>
        <w:pStyle w:val="ConsPlusNormal"/>
        <w:jc w:val="right"/>
      </w:pPr>
      <w:r>
        <w:t>Губернатор</w:t>
      </w:r>
    </w:p>
    <w:p w:rsidR="00AC295A" w:rsidRDefault="00AC295A">
      <w:pPr>
        <w:pStyle w:val="ConsPlusNormal"/>
        <w:jc w:val="right"/>
      </w:pPr>
      <w:r>
        <w:t>Ханты-Мансийского</w:t>
      </w:r>
    </w:p>
    <w:p w:rsidR="00AC295A" w:rsidRDefault="00AC295A">
      <w:pPr>
        <w:pStyle w:val="ConsPlusNormal"/>
        <w:jc w:val="right"/>
      </w:pPr>
      <w:r>
        <w:t>автономного округа - Югры</w:t>
      </w:r>
    </w:p>
    <w:p w:rsidR="00AC295A" w:rsidRDefault="00AC295A">
      <w:pPr>
        <w:pStyle w:val="ConsPlusNormal"/>
        <w:jc w:val="right"/>
      </w:pPr>
      <w:r>
        <w:t>Н.В.КОМАРОВА</w:t>
      </w: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  <w:jc w:val="right"/>
        <w:outlineLvl w:val="0"/>
      </w:pPr>
      <w:r>
        <w:t>Приложение 1</w:t>
      </w:r>
    </w:p>
    <w:p w:rsidR="00AC295A" w:rsidRDefault="00AC295A">
      <w:pPr>
        <w:pStyle w:val="ConsPlusNormal"/>
        <w:jc w:val="right"/>
      </w:pPr>
      <w:r>
        <w:t>к постановлению Правительства</w:t>
      </w:r>
    </w:p>
    <w:p w:rsidR="00AC295A" w:rsidRDefault="00AC295A">
      <w:pPr>
        <w:pStyle w:val="ConsPlusNormal"/>
        <w:jc w:val="right"/>
      </w:pPr>
      <w:r>
        <w:t>Ханты-Мансийского</w:t>
      </w:r>
    </w:p>
    <w:p w:rsidR="00AC295A" w:rsidRDefault="00AC295A">
      <w:pPr>
        <w:pStyle w:val="ConsPlusNormal"/>
        <w:jc w:val="right"/>
      </w:pPr>
      <w:r>
        <w:t>автономного округа - Югры</w:t>
      </w:r>
    </w:p>
    <w:p w:rsidR="00AC295A" w:rsidRDefault="00AC295A">
      <w:pPr>
        <w:pStyle w:val="ConsPlusNormal"/>
        <w:jc w:val="right"/>
      </w:pPr>
      <w:r>
        <w:t>от 17 сентября 2021 года N 373-п</w:t>
      </w:r>
    </w:p>
    <w:p w:rsidR="00AC295A" w:rsidRDefault="00AC295A">
      <w:pPr>
        <w:pStyle w:val="ConsPlusNormal"/>
      </w:pPr>
    </w:p>
    <w:p w:rsidR="00AC295A" w:rsidRDefault="00AC295A">
      <w:pPr>
        <w:pStyle w:val="ConsPlusTitle"/>
        <w:jc w:val="center"/>
      </w:pPr>
      <w:bookmarkStart w:id="2" w:name="P40"/>
      <w:bookmarkEnd w:id="2"/>
      <w:r>
        <w:t>ПОЛОЖЕНИЕ</w:t>
      </w:r>
    </w:p>
    <w:p w:rsidR="00AC295A" w:rsidRDefault="00AC295A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AC295A" w:rsidRDefault="00AC295A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:rsidR="00AC295A" w:rsidRDefault="00AC295A">
      <w:pPr>
        <w:pStyle w:val="ConsPlusTitle"/>
        <w:jc w:val="center"/>
      </w:pPr>
      <w:r>
        <w:t>(ДАЛЕЕ - ПОЛОЖЕНИЕ)</w:t>
      </w:r>
    </w:p>
    <w:p w:rsidR="00AC295A" w:rsidRDefault="00AC29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9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18.02.2022 </w:t>
            </w:r>
            <w:hyperlink r:id="rId18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9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28.09.2023 </w:t>
            </w:r>
            <w:hyperlink r:id="rId20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17.11.2023 </w:t>
            </w:r>
            <w:hyperlink r:id="rId21">
              <w:r>
                <w:rPr>
                  <w:color w:val="0000FF"/>
                </w:rPr>
                <w:t>N 571-п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</w:tr>
    </w:tbl>
    <w:p w:rsidR="00AC295A" w:rsidRDefault="00AC295A">
      <w:pPr>
        <w:pStyle w:val="ConsPlusNormal"/>
        <w:jc w:val="center"/>
      </w:pPr>
    </w:p>
    <w:p w:rsidR="00AC295A" w:rsidRDefault="00AC295A">
      <w:pPr>
        <w:pStyle w:val="ConsPlusTitle"/>
        <w:jc w:val="center"/>
        <w:outlineLvl w:val="1"/>
      </w:pPr>
      <w:r>
        <w:t>Раздел I. ОБЩИЕ ПОЛОЖЕНИЯ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ind w:firstLine="540"/>
        <w:jc w:val="both"/>
      </w:pPr>
      <w:r>
        <w:t>1.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- государственный контроль (надзор)).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контроля (надзора),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(далее - объект контроля, контролируемые лица) применяются положения Федеральных законов от 22 ноября 1995 года </w:t>
      </w:r>
      <w:hyperlink r:id="rId22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от 31 июля 2020 года </w:t>
      </w:r>
      <w:hyperlink r:id="rId23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 N 248-ФЗ).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3. Государственный контроль (надзор) осуществляет Департамент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Югры, автономный округ).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lastRenderedPageBreak/>
        <w:t>4. Объектами контроля являются:</w:t>
      </w:r>
    </w:p>
    <w:p w:rsidR="00AC295A" w:rsidRDefault="00AC295A">
      <w:pPr>
        <w:pStyle w:val="ConsPlusNormal"/>
        <w:spacing w:before="220"/>
        <w:ind w:firstLine="540"/>
        <w:jc w:val="both"/>
      </w:pPr>
      <w:bookmarkStart w:id="3" w:name="P54"/>
      <w:bookmarkEnd w:id="3"/>
      <w:r>
        <w:t>4.1. Деятельность организаций, осуществляющих розничную продажу алкогольной продукции и розничную продажу алкогольной продукции при оказании услуг общественного питания на основании лицензии (далее - лицензиаты).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4.2. Деятельность организаций, обратившихся в лицензирующий орган с заявлением о выдаче лицензии (далее - соискатели лицензии).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4.3. Деятельность организаций и граждан, не имеющих указанной в </w:t>
      </w:r>
      <w:hyperlink w:anchor="P54">
        <w:r>
          <w:rPr>
            <w:color w:val="0000FF"/>
          </w:rPr>
          <w:t>подпункте 4.1</w:t>
        </w:r>
      </w:hyperlink>
      <w:r>
        <w:t xml:space="preserve"> настоящего пункта лицензии (далее - </w:t>
      </w:r>
      <w:proofErr w:type="spellStart"/>
      <w:r>
        <w:t>нелицензиаты</w:t>
      </w:r>
      <w:proofErr w:type="spellEnd"/>
      <w:r>
        <w:t>) и осуществляющих: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розничную продажу алкогольной продукции и розничную продажу алкогольной продукции при оказании услуг общественного питания, для осуществления которых требуется лицензия;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медовухи,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 при оказании услуг общественного питания;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розничную продажу спиртосодержащей продукции.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4.4. Результаты деятельности граждан и организаций в сфере производства и оборота этилового спирта, алкогольной и спиртосодержащей продукции, в том числе продукция (товары), работы и услуги, к которым предъявляются обязательные требования в области розничной продажи алкогольной и спиртосодержащей продукции, установленные нормативными правовыми актами Российской Федерации и нормативными правовыми актами автономного округа (далее - обязательные требования).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4.5. Здания, сооружения, помещения, территории, оборудование, устройства, предметы, транспортные средства и другие объекты, которыми граждане и организации владеют и (или) пользуются при осуществлении деятельности в сфере оборота этилового спирта, алкогольной и спиртосодержащей продукции и к которым предъявляются обязательные требования.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5. Учет объектов контроля осуществляет </w:t>
      </w:r>
      <w:proofErr w:type="spellStart"/>
      <w:r>
        <w:t>Депэкономики</w:t>
      </w:r>
      <w:proofErr w:type="spellEnd"/>
      <w:r>
        <w:t xml:space="preserve"> Югры в соответствии с Положением, используя: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перечень контролируемых лиц, размещенный на официальном сайте </w:t>
      </w:r>
      <w:proofErr w:type="spellStart"/>
      <w:r>
        <w:t>Депэкономики</w:t>
      </w:r>
      <w:proofErr w:type="spellEnd"/>
      <w:r>
        <w:t xml:space="preserve"> Югры в информационно-телекоммуникационной сети Интернет;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автоматизированную информационную систему осуществления государственного контроля (надзора) в автономном округе (АИС КНД);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иные федеральные или региональные информационные системы, в том числе межведомственное информационное взаимодействие.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Депэкономики</w:t>
      </w:r>
      <w:proofErr w:type="spellEnd"/>
      <w:r>
        <w:t xml:space="preserve"> Югры размещает и поддерживает в актуальном состоянии на своем официальном сайте в информационно-телекоммуникационной сети Интернет информацию, предусмотренную </w:t>
      </w:r>
      <w:hyperlink r:id="rId24">
        <w:r>
          <w:rPr>
            <w:color w:val="0000FF"/>
          </w:rPr>
          <w:t>частью 3 статьи 46</w:t>
        </w:r>
      </w:hyperlink>
      <w:r>
        <w:t xml:space="preserve"> Федерального закона N 248-ФЗ, в том числе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 (далее - обязательные требования),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7. Предмет государственного контроля (надзора) предусмотрен </w:t>
      </w:r>
      <w:hyperlink r:id="rId25">
        <w:r>
          <w:rPr>
            <w:color w:val="0000FF"/>
          </w:rPr>
          <w:t>пунктом 2 статьи 23.1</w:t>
        </w:r>
      </w:hyperlink>
      <w:r>
        <w:t xml:space="preserve"> Федерального закона N 171-ФЗ.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lastRenderedPageBreak/>
        <w:t>8. Государственный контроль (надзор) осуществляется посредством проведения: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профилактических мероприятий;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контрольных (надзорных) мероприятий с взаимодействием с контролируемым лицом;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контрольных (надзорных) мероприятий без взаимодействия с контролируемым лицом.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9. Государственный контроль (надзор) осуществляют следующие должностные лица </w:t>
      </w:r>
      <w:proofErr w:type="spellStart"/>
      <w:r>
        <w:t>Депэкономики</w:t>
      </w:r>
      <w:proofErr w:type="spellEnd"/>
      <w:r>
        <w:t xml:space="preserve"> Югры в соответствии с их должностными регламентами (должностными инструкциями) (далее также - должностное лицо):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директор Департамента экономического развития - заместитель Губернатора автономного округа;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заместитель директора Департамента - начальник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отдела контроля и административного производства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отдела лицензирования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заместитель начальника отдела контроля и административного производства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заместитель начальника отдела лицензирования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консультант отдела контроля и административного производства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консультант отдела лицензирования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контроля и административного производства управления лицензирования </w:t>
      </w:r>
      <w:proofErr w:type="spellStart"/>
      <w:r>
        <w:t>Депэкономики</w:t>
      </w:r>
      <w:proofErr w:type="spellEnd"/>
      <w:r>
        <w:t xml:space="preserve"> Югры;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лицензирования управления лицензирования </w:t>
      </w:r>
      <w:proofErr w:type="spellStart"/>
      <w:r>
        <w:t>Депэкономики</w:t>
      </w:r>
      <w:proofErr w:type="spellEnd"/>
      <w:r>
        <w:t xml:space="preserve"> Югры.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AC295A" w:rsidRDefault="00AC295A">
      <w:pPr>
        <w:pStyle w:val="ConsPlusTitle"/>
        <w:jc w:val="center"/>
      </w:pPr>
      <w:r>
        <w:t>ОХРАНЯЕМЫМ ЗАКОНОМ ЦЕННОСТЯМ ПРИ ОСУЩЕСТВЛЕНИИ</w:t>
      </w:r>
    </w:p>
    <w:p w:rsidR="00AC295A" w:rsidRDefault="00AC295A">
      <w:pPr>
        <w:pStyle w:val="ConsPlusTitle"/>
        <w:jc w:val="center"/>
      </w:pPr>
      <w:r>
        <w:t>ГОСУДАРСТВЕННОГО КОНТРОЛЯ (НАДЗОРА)</w:t>
      </w:r>
    </w:p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  <w:ind w:firstLine="540"/>
        <w:jc w:val="both"/>
      </w:pPr>
      <w:r>
        <w:t xml:space="preserve">10. В целях оценки риска причинения вреда (ущерба) при принятии решения о проведении и выборе вида внепланового контрольного (надзорного) мероприятия, профилактического мероприятия </w:t>
      </w:r>
      <w:proofErr w:type="spellStart"/>
      <w:r>
        <w:t>Депэкономики</w:t>
      </w:r>
      <w:proofErr w:type="spellEnd"/>
      <w:r>
        <w:t xml:space="preserve"> Югры руководствуется индикаторами риска нарушения обязательных требований в соответствии с </w:t>
      </w:r>
      <w:hyperlink w:anchor="P236">
        <w:r>
          <w:rPr>
            <w:color w:val="0000FF"/>
          </w:rPr>
          <w:t>таблицей</w:t>
        </w:r>
      </w:hyperlink>
      <w:r>
        <w:t>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11. Допустимый уровень риска причинения вреда (ущерба) при реализации государственного контроля (надзора) закреплен в ключевых </w:t>
      </w:r>
      <w:hyperlink w:anchor="P287">
        <w:r>
          <w:rPr>
            <w:color w:val="0000FF"/>
          </w:rPr>
          <w:t>показателях</w:t>
        </w:r>
      </w:hyperlink>
      <w:r>
        <w:t xml:space="preserve"> в соответствии с приложением 2 к настоящему постановлению.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AC295A" w:rsidRDefault="00AC295A">
      <w:pPr>
        <w:pStyle w:val="ConsPlusTitle"/>
        <w:jc w:val="center"/>
      </w:pPr>
      <w:r>
        <w:t>ОХРАНЯЕМЫМ ЗАКОНОМ ЦЕННОСТЯМ</w:t>
      </w:r>
    </w:p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  <w:ind w:firstLine="540"/>
        <w:jc w:val="both"/>
      </w:pPr>
      <w:r>
        <w:t xml:space="preserve">12. Профилактические мероприятия осуществляются на основании программы профилактики рисков причинения вреда охраняемым законом ценностям, прошедшей общественное обсуждение, утвержденной </w:t>
      </w:r>
      <w:proofErr w:type="spellStart"/>
      <w:r>
        <w:t>Депэкономики</w:t>
      </w:r>
      <w:proofErr w:type="spellEnd"/>
      <w:r>
        <w:t xml:space="preserve"> Югры и размещенной на его официальном сайте в информационно-телекоммуникационной сети Интернет.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Депэкономики</w:t>
      </w:r>
      <w:proofErr w:type="spellEnd"/>
      <w:r>
        <w:t xml:space="preserve"> Югры при осуществлении государственного контроля (надзора) проводит следующие профилактические мероприятия: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14. Информирование контролируемых лиц осуществляют должностные лица при размещении сведений, предусмотренных </w:t>
      </w:r>
      <w:hyperlink r:id="rId26">
        <w:r>
          <w:rPr>
            <w:color w:val="0000FF"/>
          </w:rPr>
          <w:t>статьей 21</w:t>
        </w:r>
      </w:hyperlink>
      <w:r>
        <w:t xml:space="preserve">, </w:t>
      </w:r>
      <w:hyperlink r:id="rId27">
        <w:r>
          <w:rPr>
            <w:color w:val="0000FF"/>
          </w:rPr>
          <w:t>частью 3 статьи 46</w:t>
        </w:r>
      </w:hyperlink>
      <w:r>
        <w:t xml:space="preserve"> Федерального закона N 248-ФЗ (далее - сведения), на официальном сайте </w:t>
      </w:r>
      <w:proofErr w:type="spellStart"/>
      <w:r>
        <w:t>Депэкономики</w:t>
      </w:r>
      <w:proofErr w:type="spellEnd"/>
      <w:r>
        <w:t xml:space="preserve"> Югры в информационно-телекоммуникационной сети Интернет, в средствах массовой информации,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услуг, в иных формах.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Размещенные сведения должностные лица поддерживают в актуальном состоянии и обновляют в срок не позднее 5 рабочих дней с даты их изменения.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15. Обобщение правоприменительной практики осуществляют должностные лица путем сбора и анализа данных о проведенных контрольных (надзорных) мероприятиях и их результатов, а также поступивших в </w:t>
      </w:r>
      <w:proofErr w:type="spellStart"/>
      <w:r>
        <w:t>Депэкономики</w:t>
      </w:r>
      <w:proofErr w:type="spellEnd"/>
      <w:r>
        <w:t xml:space="preserve"> Югры обращений.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По итогам обобщения правоприменительной практики </w:t>
      </w:r>
      <w:proofErr w:type="spellStart"/>
      <w:r>
        <w:t>Депэкономики</w:t>
      </w:r>
      <w:proofErr w:type="spellEnd"/>
      <w:r>
        <w:t xml:space="preserve"> Югры не реже 1 раза в год готовит доклад, обеспечивает в обязательном порядке его публичное обсуждение и после утверждения </w:t>
      </w:r>
      <w:proofErr w:type="spellStart"/>
      <w:r>
        <w:t>Депэкономики</w:t>
      </w:r>
      <w:proofErr w:type="spellEnd"/>
      <w:r>
        <w:t xml:space="preserve"> Югры размещает его в срок до 1 апреля на своем официальном сайте в информационно-телекоммуникационной сети Интернет.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Депэкономики</w:t>
      </w:r>
      <w:proofErr w:type="spellEnd"/>
      <w:r>
        <w:t xml:space="preserve"> Югры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 в случае наличия у </w:t>
      </w:r>
      <w:proofErr w:type="spellStart"/>
      <w:r>
        <w:t>Депэкономики</w:t>
      </w:r>
      <w:proofErr w:type="spellEnd"/>
      <w:r>
        <w:t xml:space="preserve"> Югры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в срок, не превышающий 10 рабочих дней со дня получения указанных сведений.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Предостережение объявляется в письменной форме или в форме электронного документа, утвержденной </w:t>
      </w:r>
      <w:proofErr w:type="spellStart"/>
      <w:r>
        <w:t>Депэкономики</w:t>
      </w:r>
      <w:proofErr w:type="spellEnd"/>
      <w:r>
        <w:t xml:space="preserve"> Югры.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Объявленное предостережение </w:t>
      </w:r>
      <w:proofErr w:type="spellStart"/>
      <w:r>
        <w:t>Депэкономики</w:t>
      </w:r>
      <w:proofErr w:type="spellEnd"/>
      <w:r>
        <w:t xml:space="preserve"> Югры размещает в момент вынесения в едином реестре контрольных (надзорных) мероприятий и в течение 3 рабочих дней с даты объявления направляет в адрес контролируемого лица через единый портал государственных и муниципальных услуг) и (или) через региональный портал государственных и муниципальных услуг или в единой государственной автоматизированной информационной системе учета объема </w:t>
      </w:r>
      <w:r>
        <w:lastRenderedPageBreak/>
        <w:t>производства и оборота этилового спирта, алкогольной и спиртосодержащей продукции или почтовым отправлением (в случае направления на бумажном носителе).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Контролируемое лицо вправе подать в </w:t>
      </w:r>
      <w:proofErr w:type="spellStart"/>
      <w:r>
        <w:t>Депэкономики</w:t>
      </w:r>
      <w:proofErr w:type="spellEnd"/>
      <w:r>
        <w:t xml:space="preserve"> Югры почтовым отправлением (в случае направления на бумажном носителе) или на официальный адрес электронной почты </w:t>
      </w:r>
      <w:proofErr w:type="spellStart"/>
      <w:r>
        <w:t>Депэкономики</w:t>
      </w:r>
      <w:proofErr w:type="spellEnd"/>
      <w:r>
        <w:t xml:space="preserve"> Югры возражение в произвольной форме, включив в него следующую информацию: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наименование контролируемого лица;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сведения об объекте контроля;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дату и номер полученного предостережения;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обоснование позиции, возражения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желаемый способ получения ответа по итогам рассмотрения возражения;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фамилию, имя, отчество (при наличии) лица, уполномоченного действовать от имени контролируемого лица, направившего возражение;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дату направления возражения.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Возражение рассматривает </w:t>
      </w:r>
      <w:proofErr w:type="spellStart"/>
      <w:r>
        <w:t>Депэкономики</w:t>
      </w:r>
      <w:proofErr w:type="spellEnd"/>
      <w:r>
        <w:t xml:space="preserve"> Югры не позднее 30 календарных дней с даты его получения.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По итогам рассмотрения возражения </w:t>
      </w:r>
      <w:proofErr w:type="spellStart"/>
      <w:r>
        <w:t>Депэкономики</w:t>
      </w:r>
      <w:proofErr w:type="spellEnd"/>
      <w:r>
        <w:t xml:space="preserve"> Югры принимает одно из указанных решений: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в случае признания доводов контролируемого лица состоятельными - о недействительности направленного предостережения с соответствующей отметкой в журнале учета объявленных предостережений, о чем уведомляет его в срок не позднее 3 рабочих дней с даты принятия решения;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в случае признания доводов контролируемого лица несостоятельными - об оставлении возражения без удовлетворения, о чем уведомляет его в срок не позднее 3 рабочих дней с даты принятия решения.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17. Консультирование контролируемых лиц и их представителей осуществляет должностное лицо по вопросам, связанным с организацией и осуществлением государственного контроля (надзора),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Консультирование, в том числе письменное, осуществляется по следующим вопросам: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 нормативных правовых актах, регламентирующих порядок осуществления государственного контроля (надзора);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 обязательных требованиях, предъявляемых к деятельности контролируемых лиц, соответствии (несоответствии) объектов контроля индикаторам риска, интенсивности контрольных (надзорных) мероприятий, исходя из отнесения объектов контроля к соответствующим индикаторам риска;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lastRenderedPageBreak/>
        <w:t>об осуществлении государственного контроля (надзора), а также о видах, порядке, содержании, периодичности и сроках проведения контрольных (надзорных) мероприятий;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о досудебном (внесудебном) обжаловании действий (бездействия) и (или) решений, принятых (осуществленных) </w:t>
      </w:r>
      <w:proofErr w:type="spellStart"/>
      <w:r>
        <w:t>Депэкономики</w:t>
      </w:r>
      <w:proofErr w:type="spellEnd"/>
      <w:r>
        <w:t xml:space="preserve"> Югры и его должностными лицами в ходе реализации контрольных (надзорных) мероприятий;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 административной ответственности и порядке осуществления административного производства;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 правах и обязанностях контролируемых лиц и должностных лиц, осуществляющих государственный контроль (надзор).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Информация в письменной форме по итогам консультирования предоставляется в сроки, установленные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в следующих случаях: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контролируемое лицо представило письменный запрос о предоставлении письменного ответа по вопросам консультирования;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за время консультирования предоставить ответ на поставленные вопросы невозможно;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ответ на поставленные вопросы требует дополнительного запроса сведений от иных органов власти или лиц.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Время консультирования не должно превышать 15 минут.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Личный прием контролируемых лиц проводит уполномоченное должностное лицо </w:t>
      </w:r>
      <w:proofErr w:type="spellStart"/>
      <w:r>
        <w:t>Депэкономики</w:t>
      </w:r>
      <w:proofErr w:type="spellEnd"/>
      <w:r>
        <w:t xml:space="preserve"> Югры.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Информацию о месте личного приема, а также об установленных для приема днях и часах </w:t>
      </w:r>
      <w:proofErr w:type="spellStart"/>
      <w:r>
        <w:t>Депэкономики</w:t>
      </w:r>
      <w:proofErr w:type="spellEnd"/>
      <w:r>
        <w:t xml:space="preserve"> Югры размещает на своем официальном сайте в информационно-телекоммуникационной сети Интернет.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относятся к осуществляемому виду государственного контроля (надзора), контролируемому лицу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AC295A" w:rsidRDefault="00AC295A">
      <w:pPr>
        <w:pStyle w:val="ConsPlusNormal"/>
        <w:spacing w:before="220"/>
        <w:ind w:firstLine="540"/>
        <w:jc w:val="both"/>
      </w:pPr>
      <w:proofErr w:type="spellStart"/>
      <w:r>
        <w:t>Депэкономики</w:t>
      </w:r>
      <w:proofErr w:type="spellEnd"/>
      <w:r>
        <w:t xml:space="preserve"> Югры ведет учет консультирований путем внесения соответствующих записей в журнал консультирования.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Запись о проведенном консультировании во время контрольных (надзорных) мероприятий отражается в акте контрольного (надзорного) мероприятия.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Если в течение календарного года поступило 5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>
        <w:t>Депэкономики</w:t>
      </w:r>
      <w:proofErr w:type="spellEnd"/>
      <w:r>
        <w:t xml:space="preserve"> Югры в информационно-телекоммуникационной сети Интернет письменного разъяснения, подписанного уполномоченным должностным лицом, без указания в нем сведений, отнесенных к категории ограниченного доступа.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18. Профилактический визит выполняет должностное лицо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должностное лицо информирует контролируемое лицо об обязательных требованиях, предъявляемых к его деятельности либо к </w:t>
      </w:r>
      <w:r>
        <w:lastRenderedPageBreak/>
        <w:t>принадлежащим ему объектам контроля.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Срок проведения профилактического визита не может превышать 2 часов.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 итогу профилактического визита должностное лицо, его проводившее, представляет уполномоченному должностному лицу информацию, которая содержит предложения по дальнейшим действиям, направленным на обеспечение соблюдения обязательных требований.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Обязательные профилактические визиты проводятся в отношении контролируемых лиц, приступающих к осуществлению деятельности в установленной Положением сфере.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Title"/>
        <w:jc w:val="center"/>
        <w:outlineLvl w:val="1"/>
      </w:pPr>
      <w:r>
        <w:t>Раздел IV. ОСУЩЕСТВЛЕНИЕ ГОСУДАРСТВЕННОГО КОНТРОЛЯ (НАДЗОРА)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ind w:firstLine="540"/>
        <w:jc w:val="both"/>
      </w:pPr>
      <w:r>
        <w:t>19. Государственный контроль (надзор) с взаимодействием с контролируемым лицом осуществляется при проведении следующих контрольных (надзорных) мероприятий: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контрольная закупка;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инспекционный визит;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20. Проведение контрольного (надзорного) мероприятия осуществляется на основании решения </w:t>
      </w:r>
      <w:proofErr w:type="spellStart"/>
      <w:r>
        <w:t>Депэкономики</w:t>
      </w:r>
      <w:proofErr w:type="spellEnd"/>
      <w:r>
        <w:t xml:space="preserve"> Югры, в котором указываются сведения, предусмотренные </w:t>
      </w:r>
      <w:hyperlink r:id="rId29">
        <w:r>
          <w:rPr>
            <w:color w:val="0000FF"/>
          </w:rPr>
          <w:t>частью 1 статьи 64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21. Без взаимодействия с контролируемым лицом осуществляются следующие контрольные (надзорные) мероприятия: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22. При проведении контрольных (надзорных) мероприятий при осуществлении государственного контроля (надзора) должностное лицо: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совершает действия, принимает решения, предусмотренные </w:t>
      </w:r>
      <w:hyperlink r:id="rId30">
        <w:r>
          <w:rPr>
            <w:color w:val="0000FF"/>
          </w:rPr>
          <w:t>частью 2 статьи 29</w:t>
        </w:r>
      </w:hyperlink>
      <w:r>
        <w:t xml:space="preserve">, </w:t>
      </w:r>
      <w:hyperlink r:id="rId31">
        <w:r>
          <w:rPr>
            <w:color w:val="0000FF"/>
          </w:rPr>
          <w:t>частью 2 статьи 90</w:t>
        </w:r>
      </w:hyperlink>
      <w:r>
        <w:t xml:space="preserve"> Федерального закона N 248-ФЗ;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использует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23. Случаи, при наступлении которых контролируемые лица вправе представить в </w:t>
      </w:r>
      <w:proofErr w:type="spellStart"/>
      <w:r>
        <w:t>Депэкономики</w:t>
      </w:r>
      <w:proofErr w:type="spellEnd"/>
      <w:r>
        <w:t xml:space="preserve"> Югры информацию о невозможности присутствия при проведении контрольного (надзорного) мероприятия, в связи с чем </w:t>
      </w:r>
      <w:proofErr w:type="spellStart"/>
      <w:r>
        <w:t>Депэкономики</w:t>
      </w:r>
      <w:proofErr w:type="spellEnd"/>
      <w:r>
        <w:t xml:space="preserve"> Югры переносит проведение контрольного (надзорного) мероприятия на срок, необходимый для устранения обстоятельств, послуживших поводом для данного обращения контролируемого лица: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тяжелое заболевание (состояние здоровья) контролируемого лица, требующего оказания такому лицу медицинской помощи в дневном стационаре или стационарно;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смерть близкого родственника контролируемого лица (супруги (супруга), отца, матери, отца </w:t>
      </w:r>
      <w:r>
        <w:lastRenderedPageBreak/>
        <w:t>(матери) супруги (супруга), сына (дочери), родного брата (родной сестры);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пожар или другое стихийное бедствие, постигшие контролируемое лицо или его близкого родственника.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24. Контрольные (надзорные) мероприятия проводятся на внеплановой основе при наличии оснований, установленных </w:t>
      </w:r>
      <w:hyperlink r:id="rId32">
        <w:r>
          <w:rPr>
            <w:color w:val="0000FF"/>
          </w:rPr>
          <w:t>пунктами 1</w:t>
        </w:r>
      </w:hyperlink>
      <w:r>
        <w:t xml:space="preserve">, </w:t>
      </w:r>
      <w:hyperlink r:id="rId33">
        <w:r>
          <w:rPr>
            <w:color w:val="0000FF"/>
          </w:rPr>
          <w:t>3</w:t>
        </w:r>
      </w:hyperlink>
      <w:r>
        <w:t xml:space="preserve"> - </w:t>
      </w:r>
      <w:hyperlink r:id="rId34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25. Контрольные (надзорные) мероприятия с взаимодействием с контролируемым лицом проводятся только путем совершения должностным лицом и лицами, привлекаемыми к его проведению, одного или нескольких из следующих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опрос;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отбор проб (образцов);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инструментальное обследование;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экспертиза.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26. Утратил силу с 1 марта 2022 года.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18.02.2022 N 55-п.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27. Срок непосредственного личного взаимодействия должностного лица и контролируемого лица при проведении контрольной закупки не может превышать 1 рабочий день.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28. Контрольная закупка проводится в порядке, установленном </w:t>
      </w:r>
      <w:hyperlink r:id="rId36">
        <w:r>
          <w:rPr>
            <w:color w:val="0000FF"/>
          </w:rPr>
          <w:t>статьей 67</w:t>
        </w:r>
      </w:hyperlink>
      <w: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эксперимент.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29. Инспекционный визит проводится в порядке, установленном </w:t>
      </w:r>
      <w:hyperlink r:id="rId37">
        <w:r>
          <w:rPr>
            <w:color w:val="0000FF"/>
          </w:rPr>
          <w:t>статьей 70</w:t>
        </w:r>
      </w:hyperlink>
      <w:r>
        <w:t xml:space="preserve"> Федерального закона N 248-ФЗ, в ходе которого совершается одно или несколько из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опрос;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инструментальное обследование;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30. Рейдовый осмотр проводится в порядке, установленном </w:t>
      </w:r>
      <w:hyperlink r:id="rId38">
        <w:r>
          <w:rPr>
            <w:color w:val="0000FF"/>
          </w:rPr>
          <w:t>статьей 71</w:t>
        </w:r>
      </w:hyperlink>
      <w:r>
        <w:t xml:space="preserve"> Федерального закона N 248-ФЗ, в ходе которого совершается одно или несколько из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lastRenderedPageBreak/>
        <w:t>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опрос;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отбор проб (образцов);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инструментальное обследование;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экспертиза.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31. Документарная проверка проводится в порядке, установленном </w:t>
      </w:r>
      <w:hyperlink r:id="rId39">
        <w:r>
          <w:rPr>
            <w:color w:val="0000FF"/>
          </w:rPr>
          <w:t>статьей 72</w:t>
        </w:r>
      </w:hyperlink>
      <w: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экспертиза.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32. Выездная проверка проводится в порядке, установленном </w:t>
      </w:r>
      <w:hyperlink r:id="rId40">
        <w:r>
          <w:rPr>
            <w:color w:val="0000FF"/>
          </w:rPr>
          <w:t>статьей 73</w:t>
        </w:r>
      </w:hyperlink>
      <w: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осмотр;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опрос;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отбор проб (образцов);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инструментальное обследование;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экспертиза.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33.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</w:t>
      </w:r>
      <w:hyperlink r:id="rId41">
        <w:r>
          <w:rPr>
            <w:color w:val="0000FF"/>
          </w:rPr>
          <w:t>статьей 74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34. Выездное обследование проводится без взаимодействия с контролируемым лицом и без его информирования в порядке, установленном </w:t>
      </w:r>
      <w:hyperlink r:id="rId42">
        <w:r>
          <w:rPr>
            <w:color w:val="0000FF"/>
          </w:rPr>
          <w:t>статьей 75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В ходе выездного обследования должностное лицо осуществляет осмотр общедоступных </w:t>
      </w:r>
      <w:r>
        <w:lastRenderedPageBreak/>
        <w:t>(открытых для посещения неограниченным кругом лиц) производственных объектов.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35. Для фиксации информации, получаемой в ходе проведения контрольных (надзорных) мероприятий, осуществляется фотосъемка, аудио- и видеозапись, иные установленные способы фиксации, о чем делается отметка в акте контрольного (надзорного) мероприятия, а также протоколах соответствующих контрольных (надзорных) действий (в случае их составления).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При проведении контрольного (надзорного) мероприятия со взаимодействием с контролируемым лицом последнего уведомляют о проведении фотосъемки, аудио- и видеозаписи.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фиксации, должны позволять однозначно идентифицировать объект фиксации, отражающий нарушение обязательных требований.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36. Отбор образцов продукции (товаров) осуществляют должностные лица в порядке, установленном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измерений, и иными документами для направления указанных проб (образцов) на испытания и (или) экспертизу в экспертную организацию в целях проведения оценки соблюдения контролируемым лицом обязательных требований. Отбор проб (образцов) оформляется соответствующим протоколом, который является приложением к акту контрольного (надзорного) мероприятия. Не допускается изъятие алкогольной продукции, не находящейся в незаконном обороте, а также не являющейся предметом или объектом административного правонарушения.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37. При проведении инструментального обследования должностное лицо использует специальные приборы, соответствующие требованиям </w:t>
      </w:r>
      <w:hyperlink r:id="rId43">
        <w:r>
          <w:rPr>
            <w:color w:val="0000FF"/>
          </w:rPr>
          <w:t>статьи 82</w:t>
        </w:r>
      </w:hyperlink>
      <w:r>
        <w:t xml:space="preserve"> Федерального закона N 248-ФЗ, в том числе приборы определения подлинности федеральных специальных марок и акцизных марок.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Title"/>
        <w:jc w:val="center"/>
        <w:outlineLvl w:val="1"/>
      </w:pPr>
      <w:r>
        <w:t>Раздел V. РЕЗУЛЬТАТЫ КОНТРОЛЬНОГО (НАДЗОРНОГО) МЕРОПРИЯТИЯ</w:t>
      </w:r>
    </w:p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  <w:ind w:firstLine="540"/>
        <w:jc w:val="both"/>
      </w:pPr>
      <w:r>
        <w:t xml:space="preserve">38. В результате контрольных (надзорных) мероприятий </w:t>
      </w:r>
      <w:proofErr w:type="spellStart"/>
      <w:r>
        <w:t>Депэкономики</w:t>
      </w:r>
      <w:proofErr w:type="spellEnd"/>
      <w:r>
        <w:t xml:space="preserve"> Югры принимает решения, оформляет их в соответствии с </w:t>
      </w:r>
      <w:hyperlink r:id="rId44">
        <w:r>
          <w:rPr>
            <w:color w:val="0000FF"/>
          </w:rPr>
          <w:t>главой 16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39. Акт контрольного (надзорного) мероприятия оформляется на месте его проведения в день окончания (за исключением случаев, установленных Правительством Российской Федерации).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40. При осуществлении государственного контроля (надзора) </w:t>
      </w:r>
      <w:proofErr w:type="spellStart"/>
      <w:r>
        <w:t>Депэкономики</w:t>
      </w:r>
      <w:proofErr w:type="spellEnd"/>
      <w:r>
        <w:t xml:space="preserve"> Югры составляет документы в электронной форме и подписывает усиленной квалифицированной электронной подписью.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Title"/>
        <w:jc w:val="center"/>
        <w:outlineLvl w:val="1"/>
      </w:pPr>
      <w:r>
        <w:t>Раздел VI. ОБЖАЛОВАНИЕ РЕШЕНИЙ ДЕПЭКОНОМИКИ ЮГРЫ, ДЕЙСТВИЙ</w:t>
      </w:r>
    </w:p>
    <w:p w:rsidR="00AC295A" w:rsidRDefault="00AC295A">
      <w:pPr>
        <w:pStyle w:val="ConsPlusTitle"/>
        <w:jc w:val="center"/>
      </w:pPr>
      <w:r>
        <w:t>(БЕЗДЕЙСТВИЯ) ЕГО ДОЛЖНОСТНЫХ ЛИЦ</w:t>
      </w:r>
    </w:p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  <w:ind w:firstLine="540"/>
        <w:jc w:val="both"/>
      </w:pPr>
      <w:r>
        <w:t xml:space="preserve">41. Обжалование решений Департамента, действий (бездействия) его должностных лиц осуществляется в соответствии с </w:t>
      </w:r>
      <w:hyperlink r:id="rId45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42. Контролируемые лица, права и законные интересы которых, по их мнению, были непосредственно нарушены при осуществлении государственного контроля (надзора), имеют право на досудебное обжалование решений, актов и действий (бездействия) </w:t>
      </w:r>
      <w:proofErr w:type="spellStart"/>
      <w:r>
        <w:t>Депэкономики</w:t>
      </w:r>
      <w:proofErr w:type="spellEnd"/>
      <w:r>
        <w:t xml:space="preserve"> Югры, указанных в </w:t>
      </w:r>
      <w:hyperlink r:id="rId46">
        <w:r>
          <w:rPr>
            <w:color w:val="0000FF"/>
          </w:rPr>
          <w:t>части 4 статьи 40</w:t>
        </w:r>
      </w:hyperlink>
      <w:r>
        <w:t xml:space="preserve"> Федерального закона N 248-ФЗ (далее - жалоба).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43. Жалобу контролируемое лицо подает в соответствии со </w:t>
      </w:r>
      <w:hyperlink r:id="rId47">
        <w:r>
          <w:rPr>
            <w:color w:val="0000FF"/>
          </w:rPr>
          <w:t>статьями 40</w:t>
        </w:r>
      </w:hyperlink>
      <w:r>
        <w:t xml:space="preserve">, </w:t>
      </w:r>
      <w:hyperlink r:id="rId48">
        <w:r>
          <w:rPr>
            <w:color w:val="0000FF"/>
          </w:rPr>
          <w:t>41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В случае если жалоба содержит сведения и документы, составляющие государственную или </w:t>
      </w:r>
      <w:r>
        <w:lastRenderedPageBreak/>
        <w:t xml:space="preserve">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</w:t>
      </w:r>
      <w:proofErr w:type="spellStart"/>
      <w:r>
        <w:t>Депэкономики</w:t>
      </w:r>
      <w:proofErr w:type="spellEnd"/>
      <w:r>
        <w:t xml:space="preserve"> Югры на бумажном носителе нарочно или почтовым отправлением.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44. Жалобу на решение </w:t>
      </w:r>
      <w:proofErr w:type="spellStart"/>
      <w:r>
        <w:t>Депэкономики</w:t>
      </w:r>
      <w:proofErr w:type="spellEnd"/>
      <w:r>
        <w:t xml:space="preserve"> Югры, действия (бездействие) его должностных лиц рассматривает директор Департамента экономического развития - заместитель Губернатора автономного округа (заместитель директора Департамента - начальник управления лицензирования </w:t>
      </w:r>
      <w:proofErr w:type="spellStart"/>
      <w:r>
        <w:t>Депэкономики</w:t>
      </w:r>
      <w:proofErr w:type="spellEnd"/>
      <w:r>
        <w:t xml:space="preserve"> Югры);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жалобу на действия (бездействие) директора Департамента экономического развития - заместителя Губернатора автономного округа (заместителя директора Департамента - начальника управления лицензирования </w:t>
      </w:r>
      <w:proofErr w:type="spellStart"/>
      <w:r>
        <w:t>Депэкономики</w:t>
      </w:r>
      <w:proofErr w:type="spellEnd"/>
      <w:r>
        <w:t xml:space="preserve"> Югры) рассматривает первый заместитель Губернатора автономного округа, в ведении которого находится </w:t>
      </w:r>
      <w:proofErr w:type="spellStart"/>
      <w:r>
        <w:t>Депэкономики</w:t>
      </w:r>
      <w:proofErr w:type="spellEnd"/>
      <w:r>
        <w:t xml:space="preserve"> Югры.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45. Контролируемое лицо, обратившееся в </w:t>
      </w:r>
      <w:proofErr w:type="spellStart"/>
      <w:r>
        <w:t>Депэкономики</w:t>
      </w:r>
      <w:proofErr w:type="spellEnd"/>
      <w:r>
        <w:t xml:space="preserve"> Югры с жалобой, имеет право знакомиться с документами и материалами, касающимися ее рассмотрения,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Если жалоба требует дополнительного изучения и проверки, срок ее рассмотрения может быть продлен не более чем на 20 рабочих дней с письменным уведомлением об этом контролируемого лица.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46. Жалоба рассматривается в порядке и в сроки, предусмотренные </w:t>
      </w:r>
      <w:hyperlink r:id="rId49">
        <w:r>
          <w:rPr>
            <w:color w:val="0000FF"/>
          </w:rPr>
          <w:t>статьей 43</w:t>
        </w:r>
      </w:hyperlink>
      <w:r>
        <w:t xml:space="preserve"> Федерального закона N 248-ФЗ.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этом ее рассмотрение осуществляется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AC295A" w:rsidRDefault="00AC295A">
      <w:pPr>
        <w:pStyle w:val="ConsPlusNormal"/>
        <w:jc w:val="right"/>
      </w:pPr>
    </w:p>
    <w:p w:rsidR="00AC295A" w:rsidRDefault="00AC295A">
      <w:pPr>
        <w:pStyle w:val="ConsPlusNormal"/>
        <w:jc w:val="right"/>
      </w:pPr>
      <w:r>
        <w:t>Таблица</w:t>
      </w:r>
    </w:p>
    <w:p w:rsidR="00AC295A" w:rsidRDefault="00AC295A">
      <w:pPr>
        <w:pStyle w:val="ConsPlusNormal"/>
        <w:jc w:val="right"/>
      </w:pPr>
    </w:p>
    <w:p w:rsidR="00AC295A" w:rsidRDefault="00AC295A">
      <w:pPr>
        <w:pStyle w:val="ConsPlusNormal"/>
        <w:jc w:val="center"/>
      </w:pPr>
      <w:bookmarkStart w:id="4" w:name="P236"/>
      <w:bookmarkEnd w:id="4"/>
      <w:r>
        <w:t>Перечень индикаторов риска</w:t>
      </w:r>
    </w:p>
    <w:p w:rsidR="00AC295A" w:rsidRDefault="00AC295A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C295A" w:rsidRDefault="00AC295A">
      <w:pPr>
        <w:pStyle w:val="ConsPlusNormal"/>
        <w:jc w:val="center"/>
      </w:pPr>
      <w:r>
        <w:t>от 28.09.2023 N 479-п)</w:t>
      </w:r>
    </w:p>
    <w:p w:rsidR="00AC295A" w:rsidRDefault="00AC29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164"/>
      </w:tblGrid>
      <w:tr w:rsidR="00AC295A">
        <w:tc>
          <w:tcPr>
            <w:tcW w:w="850" w:type="dxa"/>
          </w:tcPr>
          <w:p w:rsidR="00AC295A" w:rsidRDefault="00AC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  <w:jc w:val="center"/>
            </w:pPr>
            <w:r>
              <w:t>Индикаторы риска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1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Отсутствие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в течение квартала, либо на протяжении 90 дней в совокупности в течение календарного года, либо непрерывно в течение 60 календарных дней информации о закупке и (или) розничной продаже (реализации), или списании маркированной алкогольной продукции организациями, имеющими лицензию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2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 xml:space="preserve">Получение в отношении организаций, осуществляющих розничную продажу алкогольной продукции, сведений из ЕГАИС и (или) от налогового органа о зафиксированных в течение 1 месяца 3 и более фактах продажи 5 и более единиц </w:t>
            </w:r>
            <w:r>
              <w:lastRenderedPageBreak/>
              <w:t>маркированной алкогольной продукции в период местного времени с 08:00 до 08:30 часов и (или) 5 и более единиц маркированной алкогольной продукции в 1 кассовом чеке в период местного времени с 19:00 до 20:00 часов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Получение в отношении лицензиата сведений из ЕГАИС об увеличении в 2 и более раза объема розничных продаж маркируемой алкогольной продукции в течение календарного года по сравнению с объемом розничных продаж маркируемой алкогольной продукции за предыдущий год при неизменной площади стационарного торгового объекта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4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Получение сведений из ЕГАИС и (или) от налогового органа об осуществлении в течение 5 и более дней в 1 торговом объекте деятельности по розничной продаже алкогольной продукции индивидуальным предпринимателем и лицензиатом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5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Выявление в ЕГАИС в течение 1 месяца 10 и более фактов реализации алкогольной продукции организациями, имеющими лицензию только на осуществление деятельности по розничной продаже алкогольной продукции при оказании услуг общественного питания, с использованием средств, обеспечивающих считывание с федеральных специальных марок и (или) акцизных марок двухмерного штрихового кода, содержащего идентификатор ЕГАИС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6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Превышение (на основании сведений ЕГАИС) на 20% и более объема алкогольной продукции, маркированной федеральной специальной маркой, приобретенной контролируемым лицом в прошедшем квартале, при отсутствии увеличения объема реализации таким лицом алкогольной продукции на 5% и более за аналогичный период времени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7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Списание алкогольной продукции по основаниям, не связанным с ее реализацией (на основании сведений ЕГАИС), в течение календарного месяца в объеме, превышающем 20% от общего объема реализованной контролируемым лицом алкогольной продукции за указанный период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8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Получение информации из ЕГАИС о наличии остатков алкогольной продукции в объекте розничной торговли указанной продукцией (в том числе при оказании услуг общественного питания) в объеме, превышающем объем ее розничной продажи в данном объекте за 90 дней, предшествующих дате получения информации об остатках продукции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9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Получение информации из ЕГАИС о превышении в объекте розничной торговли алкогольной продукцией (в том числе при оказании услуг общественного питания, за исключением объектов, находящихся в труднодоступных и отдаленных местностях автономного округа) объема закупки алкогольной продукции в сравнении с объемом ее розничной продажи более чем на 50% на протяжении свыше 90 календарных дней в совокупности в течение календарного года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10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 xml:space="preserve">Фиксация в ЕГАИС возвратов контролируемым лицом либо отказов в принятии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при условии, что объем возврата либо отказа в принятии превышает 10% от общего объема такой продукции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11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 xml:space="preserve">Принятие (на основании сведений ЕГАИС) контролируемым лицом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с расхождением при условии, что общий объем расхождений превышает 10% от общего объема закупки такой алкогольной продукции за тот же квартал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12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 xml:space="preserve">Расхождение на 10% и более объема розничной продажи пива и пивных напитков, </w:t>
            </w:r>
            <w:r>
              <w:lastRenderedPageBreak/>
              <w:t xml:space="preserve">сидра, </w:t>
            </w:r>
            <w:proofErr w:type="spellStart"/>
            <w:r>
              <w:t>пуаре</w:t>
            </w:r>
            <w:proofErr w:type="spellEnd"/>
            <w:r>
              <w:t>, медовухи согласно сведениям ЕГАИС, в течение календарного месяца с объемом розничной продажи такой продукции, согласно сведениям государственной информационной системы мониторинга за оборотом товаров (далее - ГИС МТ) за аналогичный период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Фиксация 10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 месте осуществления деятельности</w:t>
            </w:r>
          </w:p>
        </w:tc>
      </w:tr>
      <w:tr w:rsidR="00AC295A">
        <w:tc>
          <w:tcPr>
            <w:tcW w:w="850" w:type="dxa"/>
          </w:tcPr>
          <w:p w:rsidR="00AC295A" w:rsidRDefault="00AC295A">
            <w:pPr>
              <w:pStyle w:val="ConsPlusNormal"/>
            </w:pPr>
            <w:r>
              <w:t>14</w:t>
            </w:r>
          </w:p>
        </w:tc>
        <w:tc>
          <w:tcPr>
            <w:tcW w:w="8164" w:type="dxa"/>
          </w:tcPr>
          <w:p w:rsidR="00AC295A" w:rsidRDefault="00AC295A">
            <w:pPr>
              <w:pStyle w:val="ConsPlusNormal"/>
            </w:pPr>
            <w:r>
              <w:t>Фиксация в ЕГАИС возвратов контролируемым лицом алкогольной продукции либо отказов в принятии алкогольной продукции, которая подлежит маркировке федеральными специальными марками, при условии, что объем возврата либо отказа в принятии превышает 10% от общего объема закупленной за тот же квартал алкогольной продукции</w:t>
            </w:r>
          </w:p>
        </w:tc>
      </w:tr>
      <w:tr w:rsidR="00AC295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C295A" w:rsidRDefault="00AC295A">
            <w:pPr>
              <w:pStyle w:val="ConsPlusNormal"/>
            </w:pPr>
            <w:r>
              <w:t>15</w:t>
            </w:r>
          </w:p>
        </w:tc>
        <w:tc>
          <w:tcPr>
            <w:tcW w:w="8164" w:type="dxa"/>
            <w:tcBorders>
              <w:bottom w:val="nil"/>
            </w:tcBorders>
          </w:tcPr>
          <w:p w:rsidR="00AC295A" w:rsidRDefault="00AC295A">
            <w:pPr>
              <w:pStyle w:val="ConsPlusNormal"/>
            </w:pPr>
            <w:r>
              <w:t xml:space="preserve">Наличие в ГИС МТ в течение календарного месяца сведений о реализации в объекте розничной продажи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, медовухи, подлежащих обязательной маркировке, с указанием кода маркировки товара, ранее выведенного из оборота, в объеме более 50% средневзвешенного объема реализации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медовухи, подлежащих обязательной маркировке, в одном объекте розничной торговли за этот же календарный месяц</w:t>
            </w:r>
          </w:p>
        </w:tc>
      </w:tr>
      <w:tr w:rsidR="00AC295A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C295A" w:rsidRDefault="00AC295A">
            <w:pPr>
              <w:pStyle w:val="ConsPlusNormal"/>
              <w:jc w:val="both"/>
            </w:pPr>
            <w:r>
              <w:t xml:space="preserve">(п. 15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17.11.2023 N 571-п)</w:t>
            </w:r>
          </w:p>
        </w:tc>
      </w:tr>
      <w:tr w:rsidR="00AC295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C295A" w:rsidRDefault="00AC295A">
            <w:pPr>
              <w:pStyle w:val="ConsPlusNormal"/>
            </w:pPr>
            <w:r>
              <w:t>16</w:t>
            </w:r>
          </w:p>
        </w:tc>
        <w:tc>
          <w:tcPr>
            <w:tcW w:w="8164" w:type="dxa"/>
            <w:tcBorders>
              <w:bottom w:val="nil"/>
            </w:tcBorders>
          </w:tcPr>
          <w:p w:rsidR="00AC295A" w:rsidRDefault="00AC295A">
            <w:pPr>
              <w:pStyle w:val="ConsPlusNormal"/>
            </w:pPr>
            <w:r>
              <w:t xml:space="preserve">Наличие ГИС МТ в течение календарного месяца сведений о реализации в объекте розничной продажи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, медовухи с указанием кодов маркировки, не содержащихся в ГИС МТ, в объеме более 25% средневзвешенного объема реализации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в одном объекте розничной торговли за этот же календарный месяц</w:t>
            </w:r>
          </w:p>
        </w:tc>
      </w:tr>
      <w:tr w:rsidR="00AC295A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C295A" w:rsidRDefault="00AC295A">
            <w:pPr>
              <w:pStyle w:val="ConsPlusNormal"/>
              <w:jc w:val="both"/>
            </w:pPr>
            <w:r>
              <w:t xml:space="preserve">(п. 16 введен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17.11.2023 N 571-п)</w:t>
            </w:r>
          </w:p>
        </w:tc>
      </w:tr>
    </w:tbl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</w:pPr>
    </w:p>
    <w:p w:rsidR="00AC295A" w:rsidRDefault="00AC295A">
      <w:pPr>
        <w:pStyle w:val="ConsPlusNormal"/>
        <w:jc w:val="right"/>
        <w:outlineLvl w:val="0"/>
      </w:pPr>
      <w:r>
        <w:t>Приложение 2</w:t>
      </w:r>
    </w:p>
    <w:p w:rsidR="00AC295A" w:rsidRDefault="00AC295A">
      <w:pPr>
        <w:pStyle w:val="ConsPlusNormal"/>
        <w:jc w:val="right"/>
      </w:pPr>
      <w:r>
        <w:t>к постановлению Правительства</w:t>
      </w:r>
    </w:p>
    <w:p w:rsidR="00AC295A" w:rsidRDefault="00AC295A">
      <w:pPr>
        <w:pStyle w:val="ConsPlusNormal"/>
        <w:jc w:val="right"/>
      </w:pPr>
      <w:r>
        <w:t>Ханты-Мансийского</w:t>
      </w:r>
    </w:p>
    <w:p w:rsidR="00AC295A" w:rsidRDefault="00AC295A">
      <w:pPr>
        <w:pStyle w:val="ConsPlusNormal"/>
        <w:jc w:val="right"/>
      </w:pPr>
      <w:r>
        <w:t>автономного округа - Югры</w:t>
      </w:r>
    </w:p>
    <w:p w:rsidR="00AC295A" w:rsidRDefault="00AC295A">
      <w:pPr>
        <w:pStyle w:val="ConsPlusNormal"/>
        <w:jc w:val="right"/>
      </w:pPr>
      <w:r>
        <w:t>от 17 сентября 2021 года N 373-п</w:t>
      </w:r>
    </w:p>
    <w:p w:rsidR="00AC295A" w:rsidRDefault="00AC295A">
      <w:pPr>
        <w:pStyle w:val="ConsPlusNormal"/>
      </w:pPr>
    </w:p>
    <w:p w:rsidR="00AC295A" w:rsidRDefault="00AC295A">
      <w:pPr>
        <w:pStyle w:val="ConsPlusTitle"/>
        <w:jc w:val="center"/>
      </w:pPr>
      <w:bookmarkStart w:id="5" w:name="P287"/>
      <w:bookmarkEnd w:id="5"/>
      <w:r>
        <w:t>ПОКАЗАТЕЛИ</w:t>
      </w:r>
    </w:p>
    <w:p w:rsidR="00AC295A" w:rsidRDefault="00AC295A">
      <w:pPr>
        <w:pStyle w:val="ConsPlusTitle"/>
        <w:jc w:val="center"/>
      </w:pPr>
      <w:r>
        <w:t>РЕЗУЛЬТАТИВНОСТИ И ЭФФЕКТИВНОСТИ РЕГИОНАЛЬНОГО</w:t>
      </w:r>
    </w:p>
    <w:p w:rsidR="00AC295A" w:rsidRDefault="00AC295A">
      <w:pPr>
        <w:pStyle w:val="ConsPlusTitle"/>
        <w:jc w:val="center"/>
      </w:pPr>
      <w:r>
        <w:t>ГОСУДАРСТВЕННОГО КОНТРОЛЯ (НАДЗОРА) В ОБЛАСТИ РОЗНИЧНОЙ</w:t>
      </w:r>
    </w:p>
    <w:p w:rsidR="00AC295A" w:rsidRDefault="00AC295A">
      <w:pPr>
        <w:pStyle w:val="ConsPlusTitle"/>
        <w:jc w:val="center"/>
      </w:pPr>
      <w:r>
        <w:t>ПРОДАЖИ АЛКОГОЛЬНОЙ И СПИРТОСОДЕРЖАЩЕЙ ПРОДУКЦИИ</w:t>
      </w:r>
    </w:p>
    <w:p w:rsidR="00AC295A" w:rsidRDefault="00AC29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9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95A" w:rsidRDefault="00AC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20.05.2022 N 214-п)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95A" w:rsidRDefault="00AC295A">
            <w:pPr>
              <w:pStyle w:val="ConsPlusNormal"/>
            </w:pPr>
          </w:p>
        </w:tc>
      </w:tr>
    </w:tbl>
    <w:p w:rsidR="00AC295A" w:rsidRDefault="00AC295A">
      <w:pPr>
        <w:pStyle w:val="ConsPlusNormal"/>
      </w:pPr>
    </w:p>
    <w:p w:rsidR="00AC295A" w:rsidRDefault="00AC295A">
      <w:pPr>
        <w:pStyle w:val="ConsPlusNormal"/>
        <w:ind w:firstLine="540"/>
        <w:jc w:val="both"/>
      </w:pPr>
      <w:r>
        <w:t xml:space="preserve">Оценка результативности и эффективности деятельности Департамента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 в части </w:t>
      </w:r>
      <w:r>
        <w:lastRenderedPageBreak/>
        <w:t>осуществления регионального государственного контроля (надзора) в области розничной продажи алкогольной и спиртосодержащей продукции (далее - государственный контроль (надзор)) осуществляется на основе системы показателей результативности и эффективности, в которую входят: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1. Ключевой показатель результативности государственного контроля (надзора), отражающий уровень минимизации вреда (ущерба) охраняемым законом ценностям, уровень устранения риска причинения вреда (ущерба) в сфере оборота алкогольной и спиртосодержащей продукции.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Ключевой показатель - доля смертельных случаев причинения ущерба охраняемым законом интересов к количеству смертей, целевое значение которого - не более 2,1.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Формула расчета ключевого показателя: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08966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AC295A" w:rsidRDefault="00AC295A">
      <w:pPr>
        <w:pStyle w:val="ConsPlusNormal"/>
        <w:jc w:val="center"/>
      </w:pPr>
    </w:p>
    <w:p w:rsidR="00AC295A" w:rsidRDefault="00AC295A">
      <w:pPr>
        <w:pStyle w:val="ConsPlusNormal"/>
        <w:ind w:firstLine="540"/>
        <w:jc w:val="both"/>
      </w:pPr>
      <w:proofErr w:type="spellStart"/>
      <w:r>
        <w:t>Дс</w:t>
      </w:r>
      <w:proofErr w:type="spellEnd"/>
      <w:r>
        <w:t xml:space="preserve"> - доля смертельных случаев в результате наступления негативного последствия;</w:t>
      </w:r>
    </w:p>
    <w:p w:rsidR="00AC295A" w:rsidRDefault="00AC295A">
      <w:pPr>
        <w:pStyle w:val="ConsPlusNormal"/>
        <w:spacing w:before="220"/>
        <w:ind w:firstLine="540"/>
        <w:jc w:val="both"/>
      </w:pPr>
      <w:proofErr w:type="spellStart"/>
      <w:r>
        <w:t>Ск</w:t>
      </w:r>
      <w:proofErr w:type="spellEnd"/>
      <w:r>
        <w:t xml:space="preserve"> - количество погибших в результате наступления негативного последствия;</w:t>
      </w:r>
    </w:p>
    <w:p w:rsidR="00AC295A" w:rsidRDefault="00AC295A">
      <w:pPr>
        <w:pStyle w:val="ConsPlusNormal"/>
        <w:spacing w:before="220"/>
        <w:ind w:firstLine="540"/>
        <w:jc w:val="both"/>
      </w:pPr>
      <w:proofErr w:type="spellStart"/>
      <w:r>
        <w:t>Ук</w:t>
      </w:r>
      <w:proofErr w:type="spellEnd"/>
      <w:r>
        <w:t xml:space="preserve"> - общее количество умерших.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 Индикативные показатели результативности государственного контроля (надзора),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2.1. Количество плановых контрольных (надзорных) мероприятий, проведенных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2.2. Количество внеплановых контрольных (надзорных) мероприятий, проведенных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от таких параметров,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2.4. Общее количество контрольных (надзорных) мероприятий с взаимодействием, проведенных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2.5. 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2.7. Количество обязательных профилактических визитов, проведенных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2.8. Количество предостережений о недопустимости нарушения обязательных требований, объявленных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lastRenderedPageBreak/>
        <w:t>2.9.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2.11. Сумма административных штрафов, наложенных по результатам контрольных (надзорных) мероприятий,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2.12.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2.14. Общее количество учтенных объектов контроля, находящихся во владении и пользовании лицензиатов, на конец отчетного периода.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2.15. Количество учтенных контролируемых лиц на конец отчетного периода.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2.17. Общее количество жалоб, поданных контролируемыми лицами в досудебном порядке,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2.18. Количество жалоб, в отношении которых контрольным (надзорным) органом был нарушен срок рассмотрения,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 xml:space="preserve">2.19. Количество жалоб, поданных контролируемыми лицами в досудебном порядке, по итогам </w:t>
      </w:r>
      <w:proofErr w:type="gramStart"/>
      <w:r>
        <w:t>рассмотрения</w:t>
      </w:r>
      <w:proofErr w:type="gramEnd"/>
      <w:r>
        <w:t xml:space="preserve">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контрольного (надзорного) органа недействительными,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2.20.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2.21.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AC295A" w:rsidRDefault="00AC295A">
      <w:pPr>
        <w:pStyle w:val="ConsPlusNormal"/>
        <w:spacing w:before="220"/>
        <w:ind w:firstLine="540"/>
        <w:jc w:val="both"/>
      </w:pPr>
      <w:r>
        <w:t>2.22.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AC295A" w:rsidRDefault="00AC295A">
      <w:pPr>
        <w:pStyle w:val="ConsPlusNormal"/>
        <w:jc w:val="both"/>
      </w:pPr>
      <w:r>
        <w:t xml:space="preserve">(п. 2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214-п)</w:t>
      </w: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ind w:firstLine="540"/>
        <w:jc w:val="both"/>
      </w:pPr>
    </w:p>
    <w:p w:rsidR="00AC295A" w:rsidRDefault="00AC29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CC4" w:rsidRDefault="00216CC4"/>
    <w:sectPr w:rsidR="00216CC4" w:rsidSect="00B9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104F2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295A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8350-F9C9-4E79-A7D7-09C8AD8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29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29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939F7E1D3C5AAFF14769EEFDCEF9204F79BFF8D74BD459C1CE732530303169984FF959F5AFC30272922A73B08E1812EBB6B5531CDC49K5Z0H" TargetMode="External"/><Relationship Id="rId18" Type="http://schemas.openxmlformats.org/officeDocument/2006/relationships/hyperlink" Target="consultantplus://offline/ref=A6939F7E1D3C5AAFF14769EEFDCEF9204F79BFF8D749D958CBC1732530303169984FF959F5AFC30679C67B37E0884E47B1E2B94F1AC24A525E82EFA3KBZFH" TargetMode="External"/><Relationship Id="rId26" Type="http://schemas.openxmlformats.org/officeDocument/2006/relationships/hyperlink" Target="consultantplus://offline/ref=A6939F7E1D3C5AAFF14777E3EBA2AE2F4D74E1F5D745DB0B949375726F60373CD80FFF0CB6EBCC057CCD2F66A1D61714F1A9B54C00DE4B51K4Z3H" TargetMode="External"/><Relationship Id="rId39" Type="http://schemas.openxmlformats.org/officeDocument/2006/relationships/hyperlink" Target="consultantplus://offline/ref=A6939F7E1D3C5AAFF14777E3EBA2AE2F4D74E1F5D745DB0B949375726F60373CD80FFF0CB6EBC60278CD2F66A1D61714F1A9B54C00DE4B51K4Z3H" TargetMode="External"/><Relationship Id="rId21" Type="http://schemas.openxmlformats.org/officeDocument/2006/relationships/hyperlink" Target="consultantplus://offline/ref=A6939F7E1D3C5AAFF14769EEFDCEF9204F79BFF8D744D054CCC2732530303169984FF959F5AFC30679C67B37E0884E47B1E2B94F1AC24A525E82EFA3KBZFH" TargetMode="External"/><Relationship Id="rId34" Type="http://schemas.openxmlformats.org/officeDocument/2006/relationships/hyperlink" Target="consultantplus://offline/ref=A6939F7E1D3C5AAFF14777E3EBA2AE2F4D74E1F5D745DB0B949375726F60373CD80FFF0CB6EBC80471CD2F66A1D61714F1A9B54C00DE4B51K4Z3H" TargetMode="External"/><Relationship Id="rId42" Type="http://schemas.openxmlformats.org/officeDocument/2006/relationships/hyperlink" Target="consultantplus://offline/ref=A6939F7E1D3C5AAFF14777E3EBA2AE2F4D74E1F5D745DB0B949375726F60373CD80FFF0CB6EACC037BCD2F66A1D61714F1A9B54C00DE4B51K4Z3H" TargetMode="External"/><Relationship Id="rId47" Type="http://schemas.openxmlformats.org/officeDocument/2006/relationships/hyperlink" Target="consultantplus://offline/ref=A6939F7E1D3C5AAFF14777E3EBA2AE2F4D74E1F5D745DB0B949375726F60373CD80FFF0CB6EBCA0571CD2F66A1D61714F1A9B54C00DE4B51K4Z3H" TargetMode="External"/><Relationship Id="rId50" Type="http://schemas.openxmlformats.org/officeDocument/2006/relationships/hyperlink" Target="consultantplus://offline/ref=A6939F7E1D3C5AAFF14769EEFDCEF9204F79BFF8D745D754CCC7732530303169984FF959F5AFC30679C67B37E0884E47B1E2B94F1AC24A525E82EFA3KBZFH" TargetMode="External"/><Relationship Id="rId55" Type="http://schemas.openxmlformats.org/officeDocument/2006/relationships/hyperlink" Target="consultantplus://offline/ref=A6939F7E1D3C5AAFF14769EEFDCEF9204F79BFF8D748D558C0CE732530303169984FF959F5AFC30679C67B37E0884E47B1E2B94F1AC24A525E82EFA3KBZFH" TargetMode="External"/><Relationship Id="rId7" Type="http://schemas.openxmlformats.org/officeDocument/2006/relationships/hyperlink" Target="consultantplus://offline/ref=A6939F7E1D3C5AAFF14769EEFDCEF9204F79BFF8D745D254CFCF732530303169984FF959F5AFC30679C67B37E0884E47B1E2B94F1AC24A525E82EFA3KBZFH" TargetMode="External"/><Relationship Id="rId12" Type="http://schemas.openxmlformats.org/officeDocument/2006/relationships/hyperlink" Target="consultantplus://offline/ref=A6939F7E1D3C5AAFF14769EEFDCEF9204F79BFF8D74AD654C8C1732530303169984FF959E7AF9B0A7BC26536E49D1816F7KBZ4H" TargetMode="External"/><Relationship Id="rId17" Type="http://schemas.openxmlformats.org/officeDocument/2006/relationships/hyperlink" Target="consultantplus://offline/ref=A6939F7E1D3C5AAFF14769EEFDCEF9204F79BFF8D445D15CCDC4732530303169984FF959E7AF9B0A7BC26536E49D1816F7KBZ4H" TargetMode="External"/><Relationship Id="rId25" Type="http://schemas.openxmlformats.org/officeDocument/2006/relationships/hyperlink" Target="consultantplus://offline/ref=A6939F7E1D3C5AAFF14777E3EBA2AE2F4D76E2F2D34ADB0B949375726F60373CD80FFF0CB5E9C60C2D973F62E8811E08F4B6AA4F1EDEK4Z8H" TargetMode="External"/><Relationship Id="rId33" Type="http://schemas.openxmlformats.org/officeDocument/2006/relationships/hyperlink" Target="consultantplus://offline/ref=A6939F7E1D3C5AAFF14777E3EBA2AE2F4D74E1F5D745DB0B949375726F60373CD80FFF0CB6EBC8047FCD2F66A1D61714F1A9B54C00DE4B51K4Z3H" TargetMode="External"/><Relationship Id="rId38" Type="http://schemas.openxmlformats.org/officeDocument/2006/relationships/hyperlink" Target="consultantplus://offline/ref=A6939F7E1D3C5AAFF14777E3EBA2AE2F4D74E1F5D745DB0B949375726F60373CD80FFF0CB6EACC067BCD2F66A1D61714F1A9B54C00DE4B51K4Z3H" TargetMode="External"/><Relationship Id="rId46" Type="http://schemas.openxmlformats.org/officeDocument/2006/relationships/hyperlink" Target="consultantplus://offline/ref=A6939F7E1D3C5AAFF14777E3EBA2AE2F4D74E1F5D745DB0B949375726F60373CD80FFF0CB6EACF037ACD2F66A1D61714F1A9B54C00DE4B51K4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39F7E1D3C5AAFF14769EEFDCEF9204F79BFF8D44AD55DCDC5732530303169984FF959E7AF9B0A7BC26536E49D1816F7KBZ4H" TargetMode="External"/><Relationship Id="rId20" Type="http://schemas.openxmlformats.org/officeDocument/2006/relationships/hyperlink" Target="consultantplus://offline/ref=A6939F7E1D3C5AAFF14769EEFDCEF9204F79BFF8D745D754CCC7732530303169984FF959F5AFC30679C67B37E0884E47B1E2B94F1AC24A525E82EFA3KBZFH" TargetMode="External"/><Relationship Id="rId29" Type="http://schemas.openxmlformats.org/officeDocument/2006/relationships/hyperlink" Target="consultantplus://offline/ref=A6939F7E1D3C5AAFF14777E3EBA2AE2F4D74E1F5D745DB0B949375726F60373CD80FFF0CB6EACF007FCD2F66A1D61714F1A9B54C00DE4B51K4Z3H" TargetMode="External"/><Relationship Id="rId41" Type="http://schemas.openxmlformats.org/officeDocument/2006/relationships/hyperlink" Target="consultantplus://offline/ref=A6939F7E1D3C5AAFF14777E3EBA2AE2F4D74E1F5D745DB0B949375726F60373CD80FFF0CB6EBC60F71CD2F66A1D61714F1A9B54C00DE4B51K4Z3H" TargetMode="External"/><Relationship Id="rId54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6939F7E1D3C5AAFF14769EEFDCEF9204F79BFF8D748D558C0CE732530303169984FF959F5AFC30679C67B37E0884E47B1E2B94F1AC24A525E82EFA3KBZFH" TargetMode="External"/><Relationship Id="rId11" Type="http://schemas.openxmlformats.org/officeDocument/2006/relationships/hyperlink" Target="consultantplus://offline/ref=A6939F7E1D3C5AAFF14777E3EBA2AE2F4D74E1F5D745DB0B949375726F60373CD80FFF0CB6EBCE0F7ECD2F66A1D61714F1A9B54C00DE4B51K4Z3H" TargetMode="External"/><Relationship Id="rId24" Type="http://schemas.openxmlformats.org/officeDocument/2006/relationships/hyperlink" Target="consultantplus://offline/ref=A6939F7E1D3C5AAFF14777E3EBA2AE2F4D74E1F5D745DB0B949375726F60373CD80FFF0CB6EBCB067BCD2F66A1D61714F1A9B54C00DE4B51K4Z3H" TargetMode="External"/><Relationship Id="rId32" Type="http://schemas.openxmlformats.org/officeDocument/2006/relationships/hyperlink" Target="consultantplus://offline/ref=A6939F7E1D3C5AAFF14777E3EBA2AE2F4D74E1F5D745DB0B949375726F60373CD80FFF0CB6EBC8047DCD2F66A1D61714F1A9B54C00DE4B51K4Z3H" TargetMode="External"/><Relationship Id="rId37" Type="http://schemas.openxmlformats.org/officeDocument/2006/relationships/hyperlink" Target="consultantplus://offline/ref=A6939F7E1D3C5AAFF14777E3EBA2AE2F4D74E1F5D745DB0B949375726F60373CD80FFF0CB6EBC6067ACD2F66A1D61714F1A9B54C00DE4B51K4Z3H" TargetMode="External"/><Relationship Id="rId40" Type="http://schemas.openxmlformats.org/officeDocument/2006/relationships/hyperlink" Target="consultantplus://offline/ref=A6939F7E1D3C5AAFF14777E3EBA2AE2F4D74E1F5D745DB0B949375726F60373CD80FFF0CB6EBC6017DCD2F66A1D61714F1A9B54C00DE4B51K4Z3H" TargetMode="External"/><Relationship Id="rId45" Type="http://schemas.openxmlformats.org/officeDocument/2006/relationships/hyperlink" Target="consultantplus://offline/ref=A6939F7E1D3C5AAFF14777E3EBA2AE2F4D74E1F5D745DB0B949375726F60373CD80FFF0CB6EBCA057BCD2F66A1D61714F1A9B54C00DE4B51K4Z3H" TargetMode="External"/><Relationship Id="rId53" Type="http://schemas.openxmlformats.org/officeDocument/2006/relationships/hyperlink" Target="consultantplus://offline/ref=A6939F7E1D3C5AAFF14769EEFDCEF9204F79BFF8D748D558C0CE732530303169984FF959F5AFC30679C67B37E0884E47B1E2B94F1AC24A525E82EFA3KBZFH" TargetMode="External"/><Relationship Id="rId5" Type="http://schemas.openxmlformats.org/officeDocument/2006/relationships/hyperlink" Target="consultantplus://offline/ref=A6939F7E1D3C5AAFF14769EEFDCEF9204F79BFF8D749D958CBC1732530303169984FF959F5AFC30679C67B37E0884E47B1E2B94F1AC24A525E82EFA3KBZFH" TargetMode="External"/><Relationship Id="rId15" Type="http://schemas.openxmlformats.org/officeDocument/2006/relationships/hyperlink" Target="consultantplus://offline/ref=A6939F7E1D3C5AAFF14769EEFDCEF9204F79BFF8D44BD95AC8C1732530303169984FF959E7AF9B0A7BC26536E49D1816F7KBZ4H" TargetMode="External"/><Relationship Id="rId23" Type="http://schemas.openxmlformats.org/officeDocument/2006/relationships/hyperlink" Target="consultantplus://offline/ref=A6939F7E1D3C5AAFF14777E3EBA2AE2F4D74E1F5D745DB0B949375726F60373CCA0FA700B4EFD00678D87937E7K8Z0H" TargetMode="External"/><Relationship Id="rId28" Type="http://schemas.openxmlformats.org/officeDocument/2006/relationships/hyperlink" Target="consultantplus://offline/ref=A6939F7E1D3C5AAFF14777E3EBA2AE2F4D77E5F4D54EDB0B949375726F60373CCA0FA700B4EFD00678D87937E7K8Z0H" TargetMode="External"/><Relationship Id="rId36" Type="http://schemas.openxmlformats.org/officeDocument/2006/relationships/hyperlink" Target="consultantplus://offline/ref=A6939F7E1D3C5AAFF14777E3EBA2AE2F4D74E1F5D745DB0B949375726F60373CD80FFF0CB6EBC90370CD2F66A1D61714F1A9B54C00DE4B51K4Z3H" TargetMode="External"/><Relationship Id="rId49" Type="http://schemas.openxmlformats.org/officeDocument/2006/relationships/hyperlink" Target="consultantplus://offline/ref=A6939F7E1D3C5AAFF14777E3EBA2AE2F4D74E1F5D745DB0B949375726F60373CD80FFF0CB6EBCA0171CD2F66A1D61714F1A9B54C00DE4B51K4Z3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6939F7E1D3C5AAFF14777E3EBA2AE2F4D76E2F2D34ADB0B949375726F60373CD80FFF0CB5EBC60C2D973F62E8811E08F4B6AA4F1EDEK4Z8H" TargetMode="External"/><Relationship Id="rId19" Type="http://schemas.openxmlformats.org/officeDocument/2006/relationships/hyperlink" Target="consultantplus://offline/ref=A6939F7E1D3C5AAFF14769EEFDCEF9204F79BFF8D745D254CFCF732530303169984FF959F5AFC30679C67B37E0884E47B1E2B94F1AC24A525E82EFA3KBZFH" TargetMode="External"/><Relationship Id="rId31" Type="http://schemas.openxmlformats.org/officeDocument/2006/relationships/hyperlink" Target="consultantplus://offline/ref=A6939F7E1D3C5AAFF14777E3EBA2AE2F4D74E1F5D745DB0B949375726F60373CD80FFF0CB6EBC70E71CD2F66A1D61714F1A9B54C00DE4B51K4Z3H" TargetMode="External"/><Relationship Id="rId44" Type="http://schemas.openxmlformats.org/officeDocument/2006/relationships/hyperlink" Target="consultantplus://offline/ref=A6939F7E1D3C5AAFF14777E3EBA2AE2F4D74E1F5D745DB0B949375726F60373CD80FFF0CB6EBC70F79CD2F66A1D61714F1A9B54C00DE4B51K4Z3H" TargetMode="External"/><Relationship Id="rId52" Type="http://schemas.openxmlformats.org/officeDocument/2006/relationships/hyperlink" Target="consultantplus://offline/ref=A6939F7E1D3C5AAFF14769EEFDCEF9204F79BFF8D744D054CCC2732530303169984FF959F5AFC30679C67B37EC884E47B1E2B94F1AC24A525E82EFA3KBZ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939F7E1D3C5AAFF14769EEFDCEF9204F79BFF8D744D054CCC2732530303169984FF959F5AFC30679C67B37E0884E47B1E2B94F1AC24A525E82EFA3KBZFH" TargetMode="External"/><Relationship Id="rId14" Type="http://schemas.openxmlformats.org/officeDocument/2006/relationships/hyperlink" Target="consultantplus://offline/ref=A6939F7E1D3C5AAFF14769EEFDCEF9204F79BFF8D445D25DCEC6732530303169984FF959E7AF9B0A7BC26536E49D1816F7KBZ4H" TargetMode="External"/><Relationship Id="rId22" Type="http://schemas.openxmlformats.org/officeDocument/2006/relationships/hyperlink" Target="consultantplus://offline/ref=A6939F7E1D3C5AAFF14777E3EBA2AE2F4D76E2F2D34ADB0B949375726F60373CCA0FA700B4EFD00678D87937E7K8Z0H" TargetMode="External"/><Relationship Id="rId27" Type="http://schemas.openxmlformats.org/officeDocument/2006/relationships/hyperlink" Target="consultantplus://offline/ref=A6939F7E1D3C5AAFF14777E3EBA2AE2F4D74E1F5D745DB0B949375726F60373CD80FFF0CB6EBCB067BCD2F66A1D61714F1A9B54C00DE4B51K4Z3H" TargetMode="External"/><Relationship Id="rId30" Type="http://schemas.openxmlformats.org/officeDocument/2006/relationships/hyperlink" Target="consultantplus://offline/ref=A6939F7E1D3C5AAFF14777E3EBA2AE2F4D74E1F5D745DB0B949375726F60373CD80FFF0CB6EBCD0570CD2F66A1D61714F1A9B54C00DE4B51K4Z3H" TargetMode="External"/><Relationship Id="rId35" Type="http://schemas.openxmlformats.org/officeDocument/2006/relationships/hyperlink" Target="consultantplus://offline/ref=A6939F7E1D3C5AAFF14769EEFDCEF9204F79BFF8D749D958CBC1732530303169984FF959F5AFC30679C67B37E0884E47B1E2B94F1AC24A525E82EFA3KBZFH" TargetMode="External"/><Relationship Id="rId43" Type="http://schemas.openxmlformats.org/officeDocument/2006/relationships/hyperlink" Target="consultantplus://offline/ref=A6939F7E1D3C5AAFF14777E3EBA2AE2F4D74E1F5D745DB0B949375726F60373CD80FFF0CB6EBC70478CD2F66A1D61714F1A9B54C00DE4B51K4Z3H" TargetMode="External"/><Relationship Id="rId48" Type="http://schemas.openxmlformats.org/officeDocument/2006/relationships/hyperlink" Target="consultantplus://offline/ref=A6939F7E1D3C5AAFF14777E3EBA2AE2F4D74E1F5D745DB0B949375726F60373CD80FFF0CB6EBCA0370CD2F66A1D61714F1A9B54C00DE4B51K4Z3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6939F7E1D3C5AAFF14769EEFDCEF9204F79BFF8D745D754CCC7732530303169984FF959F5AFC30679C67B37E0884E47B1E2B94F1AC24A525E82EFA3KBZFH" TargetMode="External"/><Relationship Id="rId51" Type="http://schemas.openxmlformats.org/officeDocument/2006/relationships/hyperlink" Target="consultantplus://offline/ref=A6939F7E1D3C5AAFF14769EEFDCEF9204F79BFF8D744D054CCC2732530303169984FF959F5AFC30679C67B37E0884E47B1E2B94F1AC24A525E82EFA3KBZ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2023-12-01T09:46:00Z</dcterms:created>
  <dcterms:modified xsi:type="dcterms:W3CDTF">2023-12-01T09:46:00Z</dcterms:modified>
</cp:coreProperties>
</file>